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7A" w:rsidRDefault="00B8787A" w:rsidP="00B878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23C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КОЧЕНЕВСКОГО РАЙОНА НОВОСИБИРСКОЙ ОБЛАСТИ </w:t>
      </w: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</w:rPr>
      </w:pPr>
      <w:r w:rsidRPr="0037723C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РЕШЕНИЕ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772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7723C">
        <w:rPr>
          <w:rFonts w:ascii="Times New Roman" w:hAnsi="Times New Roman" w:cs="Times New Roman"/>
          <w:sz w:val="28"/>
          <w:szCs w:val="28"/>
        </w:rPr>
        <w:t>надцатой</w:t>
      </w:r>
      <w:r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 23</w:t>
      </w:r>
      <w:r w:rsidRPr="0037723C">
        <w:rPr>
          <w:rFonts w:ascii="Times New Roman" w:hAnsi="Times New Roman" w:cs="Times New Roman"/>
          <w:sz w:val="28"/>
          <w:szCs w:val="28"/>
        </w:rPr>
        <w:t xml:space="preserve"> .11</w:t>
      </w:r>
      <w:r>
        <w:rPr>
          <w:rFonts w:ascii="Times New Roman" w:hAnsi="Times New Roman" w:cs="Times New Roman"/>
          <w:sz w:val="28"/>
          <w:szCs w:val="28"/>
        </w:rPr>
        <w:t xml:space="preserve">.2016                  </w:t>
      </w:r>
      <w:r w:rsidRPr="0037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Лесная Поляна</w:t>
      </w:r>
      <w:r w:rsidRPr="0037723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23C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23C">
        <w:rPr>
          <w:rFonts w:ascii="Times New Roman" w:hAnsi="Times New Roman" w:cs="Times New Roman"/>
          <w:b/>
          <w:sz w:val="28"/>
          <w:szCs w:val="28"/>
        </w:rPr>
        <w:t>в части установления на 2017 год индекса по муниципальному образованию Леснополянского сельсовета Коченевского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23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В соответствии с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 № 400, Уставом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sz w:val="28"/>
          <w:szCs w:val="28"/>
        </w:rPr>
        <w:t xml:space="preserve">сельсовета Коченевского района Новосибирской области </w:t>
      </w:r>
      <w:r w:rsidRPr="0037723C">
        <w:rPr>
          <w:rFonts w:ascii="Times New Roman" w:hAnsi="Times New Roman" w:cs="Times New Roman"/>
          <w:iCs/>
          <w:sz w:val="28"/>
          <w:szCs w:val="28"/>
        </w:rPr>
        <w:t xml:space="preserve">в целях организации </w:t>
      </w:r>
      <w:proofErr w:type="spellStart"/>
      <w:r w:rsidRPr="0037723C">
        <w:rPr>
          <w:rFonts w:ascii="Times New Roman" w:hAnsi="Times New Roman" w:cs="Times New Roman"/>
          <w:iCs/>
          <w:sz w:val="28"/>
          <w:szCs w:val="28"/>
        </w:rPr>
        <w:t>электро</w:t>
      </w:r>
      <w:proofErr w:type="spellEnd"/>
      <w:r w:rsidRPr="0037723C">
        <w:rPr>
          <w:rFonts w:ascii="Times New Roman" w:hAnsi="Times New Roman" w:cs="Times New Roman"/>
          <w:iCs/>
          <w:sz w:val="28"/>
          <w:szCs w:val="28"/>
        </w:rPr>
        <w:t>-, тепл</w:t>
      </w:r>
      <w:proofErr w:type="gramStart"/>
      <w:r w:rsidRPr="0037723C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37723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7723C">
        <w:rPr>
          <w:rFonts w:ascii="Times New Roman" w:hAnsi="Times New Roman" w:cs="Times New Roman"/>
          <w:iCs/>
          <w:sz w:val="28"/>
          <w:szCs w:val="28"/>
        </w:rPr>
        <w:t>газо</w:t>
      </w:r>
      <w:proofErr w:type="spellEnd"/>
      <w:r w:rsidRPr="0037723C">
        <w:rPr>
          <w:rFonts w:ascii="Times New Roman" w:hAnsi="Times New Roman" w:cs="Times New Roman"/>
          <w:iCs/>
          <w:sz w:val="28"/>
          <w:szCs w:val="28"/>
        </w:rPr>
        <w:t xml:space="preserve">-, водоснабжения населения и водоотведения, а также повышения надежности и качества оказываемых населению коммунальных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sz w:val="28"/>
          <w:szCs w:val="28"/>
        </w:rPr>
        <w:t xml:space="preserve">сельсовета Коченевского района Новосибирской области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sz w:val="28"/>
          <w:szCs w:val="28"/>
        </w:rPr>
        <w:t xml:space="preserve">сельсовета Коченевского района Новосибирской области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>РЕШИЛ: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23C"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следующего индекса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</w:t>
      </w:r>
      <w:r w:rsidRPr="0037723C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37723C">
        <w:rPr>
          <w:rFonts w:ascii="Times New Roman" w:hAnsi="Times New Roman" w:cs="Times New Roman"/>
          <w:sz w:val="28"/>
          <w:szCs w:val="28"/>
        </w:rPr>
        <w:t xml:space="preserve"> сельсовету Коченевского района Новосибирской области в размере, превышающем индекс изменения размера вносимой гражданами платы за коммунальные услуги по Новосибирской области более чем на</w:t>
      </w:r>
      <w:proofErr w:type="gramEnd"/>
      <w:r w:rsidRPr="0037723C">
        <w:rPr>
          <w:rFonts w:ascii="Times New Roman" w:hAnsi="Times New Roman" w:cs="Times New Roman"/>
          <w:sz w:val="28"/>
          <w:szCs w:val="28"/>
        </w:rPr>
        <w:t xml:space="preserve">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2222-р: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1 января по 30 июня 2017 года   </w:t>
      </w:r>
      <w:r w:rsidRPr="00377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0</w:t>
      </w:r>
      <w:proofErr w:type="gramStart"/>
      <w:r w:rsidRPr="00377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37723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с 1 июля по 31 декабря 2017 года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18</w:t>
      </w:r>
      <w:r w:rsidRPr="00377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,0 </w:t>
      </w: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787A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87A" w:rsidRPr="0037723C" w:rsidRDefault="00B8787A" w:rsidP="00B87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sz w:val="28"/>
          <w:szCs w:val="28"/>
        </w:rPr>
        <w:t>сельсовета Коченевского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В.А.Черепано</w:t>
      </w:r>
      <w:r w:rsidRPr="0037723C">
        <w:rPr>
          <w:rFonts w:ascii="Times New Roman" w:hAnsi="Times New Roman" w:cs="Times New Roman"/>
          <w:sz w:val="28"/>
          <w:szCs w:val="28"/>
        </w:rPr>
        <w:t>в</w:t>
      </w:r>
    </w:p>
    <w:p w:rsidR="00B8787A" w:rsidRPr="0037723C" w:rsidRDefault="00B8787A" w:rsidP="00B8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87A" w:rsidRPr="0037723C" w:rsidRDefault="00B8787A" w:rsidP="00B8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 Совета депутатов Леснополянск</w:t>
      </w:r>
      <w:r w:rsidRPr="0037723C">
        <w:rPr>
          <w:rFonts w:ascii="Times New Roman" w:hAnsi="Times New Roman" w:cs="Times New Roman"/>
          <w:sz w:val="28"/>
          <w:szCs w:val="28"/>
        </w:rPr>
        <w:t>ого</w:t>
      </w:r>
    </w:p>
    <w:p w:rsidR="00B8787A" w:rsidRPr="0037723C" w:rsidRDefault="00B8787A" w:rsidP="00B8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723C">
        <w:rPr>
          <w:rFonts w:ascii="Times New Roman" w:hAnsi="Times New Roman" w:cs="Times New Roman"/>
          <w:sz w:val="28"/>
          <w:szCs w:val="28"/>
        </w:rPr>
        <w:t xml:space="preserve">ельсовета Коченевского района </w:t>
      </w:r>
    </w:p>
    <w:p w:rsidR="00B8787A" w:rsidRPr="0037723C" w:rsidRDefault="00B8787A" w:rsidP="00B8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Г.Л.Готальская</w:t>
      </w:r>
      <w:proofErr w:type="spellEnd"/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</w:t>
      </w: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Председатель Совета депутатов </w:t>
      </w: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Леснополянского </w:t>
      </w: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Г.Л.Готальская</w:t>
      </w:r>
      <w:proofErr w:type="spellEnd"/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>от ______ 2016 №  ______</w:t>
      </w:r>
    </w:p>
    <w:p w:rsidR="00B8787A" w:rsidRPr="0037723C" w:rsidRDefault="00B8787A" w:rsidP="00B878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996" w:type="dxa"/>
        <w:jc w:val="center"/>
        <w:tblLook w:val="00A0"/>
      </w:tblPr>
      <w:tblGrid>
        <w:gridCol w:w="605"/>
        <w:gridCol w:w="4207"/>
        <w:gridCol w:w="3547"/>
        <w:gridCol w:w="1637"/>
      </w:tblGrid>
      <w:tr w:rsidR="00B8787A" w:rsidRPr="0037723C" w:rsidTr="007A2E4E">
        <w:trPr>
          <w:trHeight w:val="6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7723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7723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7723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Предельные индексы</w:t>
            </w:r>
          </w:p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(в процентах)</w:t>
            </w:r>
          </w:p>
        </w:tc>
      </w:tr>
      <w:tr w:rsidR="00B8787A" w:rsidRPr="0037723C" w:rsidTr="007A2E4E">
        <w:trPr>
          <w:trHeight w:val="315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23C">
              <w:rPr>
                <w:rFonts w:ascii="Times New Roman" w:hAnsi="Times New Roman" w:cs="Times New Roman"/>
                <w:b/>
                <w:bCs/>
                <w:color w:val="000000"/>
              </w:rPr>
              <w:t>Коченевский</w:t>
            </w:r>
            <w:proofErr w:type="spellEnd"/>
            <w:r w:rsidRPr="003772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787A" w:rsidRPr="0037723C" w:rsidTr="007A2E4E">
        <w:trPr>
          <w:trHeight w:val="315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Леснополянский</w:t>
            </w:r>
            <w:r w:rsidRPr="0037723C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с 1 января по 30 июня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787A" w:rsidRPr="0037723C" w:rsidTr="007A2E4E">
        <w:trPr>
          <w:trHeight w:val="315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с 1 июля по 31 декабря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37723C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:rsidR="00B8787A" w:rsidRDefault="00B8787A" w:rsidP="00B878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787A" w:rsidRPr="0037723C" w:rsidRDefault="00B8787A" w:rsidP="00B878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787A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B8787A" w:rsidRPr="0037723C" w:rsidRDefault="00B8787A" w:rsidP="00B8787A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Губернатора </w:t>
      </w: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8787A" w:rsidRPr="0037723C" w:rsidRDefault="00B8787A" w:rsidP="00B878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23C">
        <w:rPr>
          <w:rFonts w:ascii="Times New Roman" w:hAnsi="Times New Roman" w:cs="Times New Roman"/>
          <w:sz w:val="28"/>
          <w:szCs w:val="28"/>
        </w:rPr>
        <w:t>от ____ 2016 №  ______</w:t>
      </w: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3C">
        <w:rPr>
          <w:rFonts w:ascii="Times New Roman" w:hAnsi="Times New Roman" w:cs="Times New Roman"/>
          <w:b/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B8787A" w:rsidRPr="0037723C" w:rsidRDefault="00B8787A" w:rsidP="00B878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89"/>
        <w:gridCol w:w="6815"/>
      </w:tblGrid>
      <w:tr w:rsidR="00B8787A" w:rsidRPr="0037723C" w:rsidTr="007A2E4E">
        <w:trPr>
          <w:trHeight w:val="390"/>
          <w:jc w:val="center"/>
        </w:trPr>
        <w:tc>
          <w:tcPr>
            <w:tcW w:w="540" w:type="dxa"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7723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7723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7723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789" w:type="dxa"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</w:p>
        </w:tc>
        <w:tc>
          <w:tcPr>
            <w:tcW w:w="6815" w:type="dxa"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37723C">
              <w:rPr>
                <w:rFonts w:ascii="Times New Roman" w:hAnsi="Times New Roman" w:cs="Times New Roman"/>
                <w:bCs/>
                <w:i/>
                <w:color w:val="000000"/>
              </w:rPr>
              <w:t>(далее - предельные (максимальные) индексы)</w:t>
            </w:r>
          </w:p>
        </w:tc>
      </w:tr>
      <w:tr w:rsidR="00B8787A" w:rsidRPr="0037723C" w:rsidTr="007A2E4E">
        <w:trPr>
          <w:trHeight w:val="52"/>
          <w:jc w:val="center"/>
        </w:trPr>
        <w:tc>
          <w:tcPr>
            <w:tcW w:w="540" w:type="dxa"/>
            <w:noWrap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89" w:type="dxa"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23C">
              <w:rPr>
                <w:rFonts w:ascii="Times New Roman" w:hAnsi="Times New Roman" w:cs="Times New Roman"/>
                <w:b/>
                <w:bCs/>
                <w:color w:val="000000"/>
              </w:rPr>
              <w:t>Коченевский</w:t>
            </w:r>
            <w:proofErr w:type="spellEnd"/>
            <w:r w:rsidRPr="003772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6815" w:type="dxa"/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787A" w:rsidRPr="0037723C" w:rsidTr="007A2E4E">
        <w:trPr>
          <w:trHeight w:val="600"/>
          <w:jc w:val="center"/>
        </w:trPr>
        <w:tc>
          <w:tcPr>
            <w:tcW w:w="540" w:type="dxa"/>
            <w:noWrap/>
          </w:tcPr>
          <w:p w:rsidR="00B8787A" w:rsidRPr="0037723C" w:rsidRDefault="00B8787A" w:rsidP="007A2E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B8787A" w:rsidRPr="0037723C" w:rsidRDefault="00B8787A" w:rsidP="007A2E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Леснополянский</w:t>
            </w:r>
            <w:r w:rsidRPr="0037723C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6815" w:type="dxa"/>
            <w:noWrap/>
          </w:tcPr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7723C">
              <w:rPr>
                <w:rFonts w:ascii="Times New Roman" w:hAnsi="Times New Roman" w:cs="Times New Roman"/>
                <w:bCs/>
                <w:color w:val="000000"/>
              </w:rPr>
              <w:t>Величина установленного на 2017 год предельного (максимального) индекса рассчитана: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7723C">
              <w:rPr>
                <w:rFonts w:ascii="Times New Roman" w:hAnsi="Times New Roman" w:cs="Times New Roman"/>
                <w:bCs/>
                <w:color w:val="000000"/>
              </w:rPr>
              <w:t>1) в</w:t>
            </w:r>
            <w:r w:rsidRPr="0037723C">
              <w:rPr>
                <w:rFonts w:ascii="Times New Roman" w:hAnsi="Times New Roman" w:cs="Times New Roman"/>
              </w:rPr>
              <w:t xml:space="preserve">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</w:t>
            </w: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; 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2) на основании следующих данных (значений и параметров) и </w:t>
            </w:r>
            <w:r w:rsidRPr="0037723C">
              <w:rPr>
                <w:rFonts w:ascii="Times New Roman" w:hAnsi="Times New Roman" w:cs="Times New Roman"/>
              </w:rPr>
              <w:t xml:space="preserve">факторов, повлиявших на величину установленного предельного </w:t>
            </w: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(максимального) </w:t>
            </w:r>
            <w:r w:rsidRPr="0037723C">
              <w:rPr>
                <w:rFonts w:ascii="Times New Roman" w:hAnsi="Times New Roman" w:cs="Times New Roman"/>
              </w:rPr>
              <w:t>индекса: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 xml:space="preserve">а) набор коммунальных услуг и тип благоустройства, которому соответствует значение предельного </w:t>
            </w: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(максимального) </w:t>
            </w:r>
            <w:r w:rsidRPr="0037723C">
              <w:rPr>
                <w:rFonts w:ascii="Times New Roman" w:hAnsi="Times New Roman" w:cs="Times New Roman"/>
              </w:rPr>
              <w:t>индекса: холодное водоснабжение, отопление, электроснабжение, газоснабжение;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 xml:space="preserve">б) максимальные темпы изменения тарифов на коммунальные </w:t>
            </w:r>
            <w:r w:rsidRPr="0037723C">
              <w:rPr>
                <w:rFonts w:ascii="Times New Roman" w:hAnsi="Times New Roman" w:cs="Times New Roman"/>
              </w:rPr>
              <w:lastRenderedPageBreak/>
              <w:t xml:space="preserve">услуги: </w:t>
            </w:r>
          </w:p>
          <w:p w:rsidR="00B8787A" w:rsidRPr="0037723C" w:rsidRDefault="00B8787A" w:rsidP="007A2E4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3C">
              <w:rPr>
                <w:rFonts w:ascii="Times New Roman" w:hAnsi="Times New Roman"/>
                <w:sz w:val="24"/>
                <w:szCs w:val="24"/>
              </w:rPr>
              <w:t xml:space="preserve">холодное водоснабжение 108,1%, </w:t>
            </w:r>
          </w:p>
          <w:p w:rsidR="00B8787A" w:rsidRPr="0037723C" w:rsidRDefault="00B8787A" w:rsidP="007A2E4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3C">
              <w:rPr>
                <w:rFonts w:ascii="Times New Roman" w:hAnsi="Times New Roman"/>
                <w:sz w:val="24"/>
                <w:szCs w:val="24"/>
              </w:rPr>
              <w:t>отопление 113,2%,</w:t>
            </w:r>
          </w:p>
          <w:p w:rsidR="00B8787A" w:rsidRPr="0037723C" w:rsidRDefault="00B8787A" w:rsidP="007A2E4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3C">
              <w:rPr>
                <w:rFonts w:ascii="Times New Roman" w:hAnsi="Times New Roman"/>
                <w:sz w:val="24"/>
                <w:szCs w:val="24"/>
              </w:rPr>
              <w:t>электроснабжение 103,1%,</w:t>
            </w:r>
          </w:p>
          <w:p w:rsidR="00B8787A" w:rsidRPr="0037723C" w:rsidRDefault="00B8787A" w:rsidP="007A2E4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3C">
              <w:rPr>
                <w:rFonts w:ascii="Times New Roman" w:hAnsi="Times New Roman"/>
                <w:sz w:val="24"/>
                <w:szCs w:val="24"/>
              </w:rPr>
              <w:t>газоснабжение 103,9%;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37723C">
              <w:rPr>
                <w:rFonts w:ascii="Times New Roman" w:hAnsi="Times New Roman" w:cs="Times New Roman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37723C">
              <w:rPr>
                <w:rStyle w:val="a3"/>
                <w:rFonts w:ascii="Times New Roman" w:hAnsi="Times New Roman"/>
              </w:rPr>
              <w:t>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</w:t>
            </w: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(максимальному) </w:t>
            </w:r>
            <w:r w:rsidRPr="0037723C">
              <w:rPr>
                <w:rFonts w:ascii="Times New Roman" w:hAnsi="Times New Roman" w:cs="Times New Roman"/>
              </w:rPr>
              <w:t>индексу: 58 чел.;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23C">
              <w:rPr>
                <w:rFonts w:ascii="Times New Roman" w:hAnsi="Times New Roman" w:cs="Times New Roman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</w:t>
            </w:r>
            <w:r w:rsidRPr="0037723C">
              <w:rPr>
                <w:rFonts w:ascii="Times New Roman" w:hAnsi="Times New Roman" w:cs="Times New Roman"/>
                <w:bCs/>
                <w:color w:val="000000"/>
              </w:rPr>
              <w:t xml:space="preserve">(максимальному) </w:t>
            </w:r>
            <w:r w:rsidRPr="0037723C">
              <w:rPr>
                <w:rFonts w:ascii="Times New Roman" w:hAnsi="Times New Roman" w:cs="Times New Roman"/>
              </w:rPr>
              <w:t>индексу, в общей численности населения на территории муниципального образования Новосибирской области 3,5% и в общей численности населения на территории Новосибирской области 0,000021%.</w:t>
            </w:r>
            <w:r w:rsidRPr="003772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37723C">
              <w:rPr>
                <w:rFonts w:ascii="Times New Roman" w:hAnsi="Times New Roman" w:cs="Times New Roman"/>
                <w:color w:val="000000"/>
              </w:rPr>
              <w:t xml:space="preserve">е) факторы, указанные в </w:t>
            </w:r>
            <w:r w:rsidRPr="0037723C">
              <w:rPr>
                <w:rFonts w:ascii="Times New Roman" w:hAnsi="Times New Roman" w:cs="Times New Roman"/>
              </w:rPr>
              <w:t>подпунктах «а» - 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B8787A" w:rsidRPr="0037723C" w:rsidRDefault="00B8787A" w:rsidP="007A2E4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53BD8">
              <w:rPr>
                <w:rFonts w:ascii="Times New Roman" w:hAnsi="Times New Roman" w:cs="Times New Roman"/>
              </w:rPr>
              <w:t>3) на основании решения Совета депутатов Леснополянского сельсовета Коченевского района Новосибирской области от «2</w:t>
            </w:r>
            <w:r>
              <w:rPr>
                <w:rFonts w:ascii="Times New Roman" w:hAnsi="Times New Roman" w:cs="Times New Roman"/>
              </w:rPr>
              <w:t>3</w:t>
            </w:r>
            <w:r w:rsidRPr="00453BD8">
              <w:rPr>
                <w:rFonts w:ascii="Times New Roman" w:hAnsi="Times New Roman" w:cs="Times New Roman"/>
              </w:rPr>
              <w:t>» ноября 2016 года № </w:t>
            </w:r>
            <w:r>
              <w:rPr>
                <w:rFonts w:ascii="Times New Roman" w:hAnsi="Times New Roman" w:cs="Times New Roman"/>
              </w:rPr>
              <w:t>1</w:t>
            </w:r>
            <w:r w:rsidRPr="00453BD8">
              <w:rPr>
                <w:rFonts w:ascii="Times New Roman" w:hAnsi="Times New Roman" w:cs="Times New Roman"/>
              </w:rPr>
              <w:t xml:space="preserve"> «О согласовании проекта постановления Губернатора Новосибирской области об установлении предельного (максимального) индекса изменения размера вносимой гражданами платы за коммунальные услуги в муниципальном образовании Леснополянского сельсовета Коченевского района Новосибирской области на 2017 год в размере,</w:t>
            </w:r>
            <w:r w:rsidRPr="0037723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723C">
              <w:rPr>
                <w:rFonts w:ascii="Times New Roman" w:hAnsi="Times New Roman" w:cs="Times New Roman"/>
              </w:rPr>
              <w:t>превышающем индекс изменения размера вносимой гражданами платы за</w:t>
            </w:r>
            <w:proofErr w:type="gramEnd"/>
            <w:r w:rsidRPr="0037723C">
              <w:rPr>
                <w:rFonts w:ascii="Times New Roman" w:hAnsi="Times New Roman" w:cs="Times New Roman"/>
              </w:rPr>
              <w:t xml:space="preserve">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B8787A" w:rsidRPr="0037723C" w:rsidRDefault="00B8787A" w:rsidP="00B8787A">
      <w:pPr>
        <w:spacing w:after="0"/>
        <w:rPr>
          <w:rFonts w:ascii="Times New Roman" w:hAnsi="Times New Roman" w:cs="Times New Roman"/>
        </w:rPr>
      </w:pPr>
    </w:p>
    <w:p w:rsidR="00D23F17" w:rsidRDefault="00B8787A" w:rsidP="00B8787A">
      <w:pPr>
        <w:spacing w:after="0"/>
      </w:pPr>
      <w:r w:rsidRPr="0037723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87A"/>
    <w:rsid w:val="00B8787A"/>
    <w:rsid w:val="00D2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787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Emphasis"/>
    <w:basedOn w:val="a0"/>
    <w:qFormat/>
    <w:rsid w:val="00B878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5903</Characters>
  <Application>Microsoft Office Word</Application>
  <DocSecurity>0</DocSecurity>
  <Lines>49</Lines>
  <Paragraphs>13</Paragraphs>
  <ScaleCrop>false</ScaleCrop>
  <Company>Lesnopoljskij selsovet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2016-12-05T03:37:00Z</dcterms:created>
  <dcterms:modified xsi:type="dcterms:W3CDTF">2016-12-05T03:39:00Z</dcterms:modified>
</cp:coreProperties>
</file>