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B9" w:rsidRPr="00D064B9" w:rsidRDefault="00D064B9" w:rsidP="00D064B9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4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64B9">
        <w:rPr>
          <w:rFonts w:ascii="Times New Roman" w:hAnsi="Times New Roman" w:cs="Times New Roman"/>
          <w:b/>
          <w:sz w:val="28"/>
          <w:szCs w:val="28"/>
        </w:rPr>
        <w:t xml:space="preserve"> Р О Т О К О Л  </w:t>
      </w:r>
    </w:p>
    <w:p w:rsidR="00D064B9" w:rsidRPr="00D064B9" w:rsidRDefault="00D064B9" w:rsidP="00D064B9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B9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 проекта отчета об исполнении бюджета</w:t>
      </w:r>
      <w:r w:rsidR="00D0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4B9">
        <w:rPr>
          <w:rFonts w:ascii="Times New Roman" w:hAnsi="Times New Roman" w:cs="Times New Roman"/>
          <w:b/>
          <w:sz w:val="28"/>
          <w:szCs w:val="28"/>
        </w:rPr>
        <w:t>Леснополянского сельсовета Коченевского  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</w:t>
      </w:r>
      <w:r w:rsidR="00D04F83">
        <w:rPr>
          <w:rFonts w:ascii="Times New Roman" w:hAnsi="Times New Roman" w:cs="Times New Roman"/>
          <w:b/>
          <w:sz w:val="28"/>
          <w:szCs w:val="28"/>
        </w:rPr>
        <w:t xml:space="preserve"> за 2016</w:t>
      </w:r>
      <w:r w:rsidRPr="00D064B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064B9" w:rsidRPr="00167CF8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D064B9" w:rsidRDefault="00D04F83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31.03.2017</w:t>
      </w:r>
      <w:r w:rsidR="00D064B9" w:rsidRPr="00D0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ст. Лесная Поляна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D064B9" w:rsidRPr="00D064B9" w:rsidRDefault="00D04F83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15</w:t>
      </w:r>
      <w:r w:rsidR="00D064B9" w:rsidRPr="00D064B9">
        <w:rPr>
          <w:rFonts w:ascii="Times New Roman" w:hAnsi="Times New Roman" w:cs="Times New Roman"/>
          <w:sz w:val="28"/>
          <w:szCs w:val="28"/>
        </w:rPr>
        <w:t>.00 час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Председатель публичных слушан</w:t>
      </w:r>
      <w:r w:rsidR="00C4593F">
        <w:rPr>
          <w:rFonts w:ascii="Times New Roman" w:hAnsi="Times New Roman" w:cs="Times New Roman"/>
          <w:sz w:val="28"/>
          <w:szCs w:val="28"/>
        </w:rPr>
        <w:t xml:space="preserve">ий: </w:t>
      </w:r>
      <w:proofErr w:type="spellStart"/>
      <w:r w:rsidR="00C4593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="00C4593F">
        <w:rPr>
          <w:rFonts w:ascii="Times New Roman" w:hAnsi="Times New Roman" w:cs="Times New Roman"/>
          <w:sz w:val="28"/>
          <w:szCs w:val="28"/>
        </w:rPr>
        <w:t xml:space="preserve"> Галина Леонидовна –  председатель</w:t>
      </w:r>
      <w:r w:rsidRPr="00D064B9">
        <w:rPr>
          <w:rFonts w:ascii="Times New Roman" w:hAnsi="Times New Roman" w:cs="Times New Roman"/>
          <w:sz w:val="28"/>
          <w:szCs w:val="28"/>
        </w:rPr>
        <w:t xml:space="preserve"> Совета депутатов Леснополянского сельсовета Коченевского района Новосибирской области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Секретарь публичных слушаний: - Кириллова Татьяна Николаевна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Присутствовали: жители Леснополянского сельсовета Коченевского района Новоси</w:t>
      </w:r>
      <w:r w:rsidR="00640832">
        <w:rPr>
          <w:rFonts w:ascii="Times New Roman" w:hAnsi="Times New Roman" w:cs="Times New Roman"/>
          <w:sz w:val="28"/>
          <w:szCs w:val="28"/>
        </w:rPr>
        <w:t>бирской области в количестве  23</w:t>
      </w:r>
      <w:r w:rsidRPr="00D064B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064B9" w:rsidRPr="00D064B9" w:rsidRDefault="00D064B9" w:rsidP="00D04F83">
      <w:pPr>
        <w:pStyle w:val="a5"/>
        <w:spacing w:after="0"/>
        <w:ind w:left="109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Рассмотрение проекта отчета об исполнении бюджета</w:t>
      </w:r>
      <w:r w:rsidRPr="00D064B9">
        <w:rPr>
          <w:rFonts w:ascii="Times New Roman" w:hAnsi="Times New Roman" w:cs="Times New Roman"/>
          <w:sz w:val="28"/>
          <w:szCs w:val="28"/>
        </w:rPr>
        <w:br/>
        <w:t>Леснополянского сельсовета Коченевского   райо</w:t>
      </w:r>
      <w:r w:rsidR="00640832">
        <w:rPr>
          <w:rFonts w:ascii="Times New Roman" w:hAnsi="Times New Roman" w:cs="Times New Roman"/>
          <w:sz w:val="28"/>
          <w:szCs w:val="28"/>
        </w:rPr>
        <w:t>на Новосибирской области за 2016</w:t>
      </w:r>
      <w:r w:rsidRPr="00D064B9">
        <w:rPr>
          <w:rFonts w:ascii="Times New Roman" w:hAnsi="Times New Roman" w:cs="Times New Roman"/>
          <w:sz w:val="28"/>
          <w:szCs w:val="28"/>
        </w:rPr>
        <w:t>год</w:t>
      </w:r>
    </w:p>
    <w:p w:rsid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D064B9" w:rsidRDefault="00D064B9" w:rsidP="00D04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64B9">
        <w:rPr>
          <w:rFonts w:ascii="Times New Roman" w:hAnsi="Times New Roman" w:cs="Times New Roman"/>
          <w:sz w:val="28"/>
          <w:szCs w:val="28"/>
        </w:rPr>
        <w:t xml:space="preserve">С вступительным словом выступил председательствующий на </w:t>
      </w:r>
      <w:r w:rsidR="00C4593F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proofErr w:type="spellStart"/>
      <w:r w:rsidR="00C4593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="00C4593F">
        <w:rPr>
          <w:rFonts w:ascii="Times New Roman" w:hAnsi="Times New Roman" w:cs="Times New Roman"/>
          <w:sz w:val="28"/>
          <w:szCs w:val="28"/>
        </w:rPr>
        <w:t xml:space="preserve"> Г</w:t>
      </w:r>
      <w:r w:rsidRPr="00D064B9">
        <w:rPr>
          <w:rFonts w:ascii="Times New Roman" w:hAnsi="Times New Roman" w:cs="Times New Roman"/>
          <w:sz w:val="28"/>
          <w:szCs w:val="28"/>
        </w:rPr>
        <w:t>.</w:t>
      </w:r>
      <w:r w:rsidR="00C4593F">
        <w:rPr>
          <w:rFonts w:ascii="Times New Roman" w:hAnsi="Times New Roman" w:cs="Times New Roman"/>
          <w:sz w:val="28"/>
          <w:szCs w:val="28"/>
        </w:rPr>
        <w:t>Л.</w:t>
      </w:r>
      <w:r w:rsidRPr="00D064B9">
        <w:rPr>
          <w:rFonts w:ascii="Times New Roman" w:hAnsi="Times New Roman" w:cs="Times New Roman"/>
          <w:sz w:val="28"/>
          <w:szCs w:val="28"/>
        </w:rPr>
        <w:t>, она сообщила, что публичные слушания проводятся по инициативе Совета депутатов Леснополянского сельсовета в соответствии со ст.44 Федерального закона от 06.10.2003 № 131-ФЗ «Об общих принципах организации местного самоуправления в Российской Федерации», ст.11 Устава Леснополянского сельсовета Коченевского района Новосибирской области, Положением о порядке организации и проведения публичных слушаний.</w:t>
      </w:r>
      <w:proofErr w:type="gramEnd"/>
      <w:r w:rsidRPr="00D064B9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D04F83">
        <w:rPr>
          <w:rFonts w:ascii="Times New Roman" w:hAnsi="Times New Roman" w:cs="Times New Roman"/>
          <w:sz w:val="28"/>
          <w:szCs w:val="28"/>
        </w:rPr>
        <w:t>ие  восемнадца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4B9">
        <w:rPr>
          <w:rFonts w:ascii="Times New Roman" w:hAnsi="Times New Roman" w:cs="Times New Roman"/>
          <w:sz w:val="28"/>
          <w:szCs w:val="28"/>
        </w:rPr>
        <w:t>ой сессии  Совета депутатов Леснополянского сельсовета Коченевского ра</w:t>
      </w:r>
      <w:r w:rsidR="00D04F83">
        <w:rPr>
          <w:rFonts w:ascii="Times New Roman" w:hAnsi="Times New Roman" w:cs="Times New Roman"/>
          <w:sz w:val="28"/>
          <w:szCs w:val="28"/>
        </w:rPr>
        <w:t>йона Новосибирской области от 13.03.2017</w:t>
      </w:r>
      <w:r w:rsidRPr="00D064B9">
        <w:rPr>
          <w:rFonts w:ascii="Times New Roman" w:hAnsi="Times New Roman" w:cs="Times New Roman"/>
          <w:sz w:val="28"/>
          <w:szCs w:val="28"/>
        </w:rPr>
        <w:t xml:space="preserve"> «О проекте</w:t>
      </w:r>
      <w:r w:rsidR="00D04F83" w:rsidRPr="00D04F83">
        <w:rPr>
          <w:rFonts w:ascii="Times New Roman" w:hAnsi="Times New Roman" w:cs="Times New Roman"/>
          <w:sz w:val="28"/>
          <w:szCs w:val="28"/>
        </w:rPr>
        <w:t xml:space="preserve"> </w:t>
      </w:r>
      <w:r w:rsidR="00D04F83" w:rsidRPr="004C026D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D04F83">
        <w:rPr>
          <w:rFonts w:ascii="Times New Roman" w:hAnsi="Times New Roman" w:cs="Times New Roman"/>
          <w:sz w:val="28"/>
          <w:szCs w:val="28"/>
        </w:rPr>
        <w:t xml:space="preserve"> б</w:t>
      </w:r>
      <w:r w:rsidR="00D04F83" w:rsidRPr="004C026D">
        <w:rPr>
          <w:rFonts w:ascii="Times New Roman" w:hAnsi="Times New Roman" w:cs="Times New Roman"/>
          <w:sz w:val="28"/>
          <w:szCs w:val="28"/>
        </w:rPr>
        <w:t>юджета</w:t>
      </w:r>
      <w:r w:rsidR="00D04F83">
        <w:rPr>
          <w:rFonts w:ascii="Times New Roman" w:hAnsi="Times New Roman" w:cs="Times New Roman"/>
          <w:sz w:val="28"/>
          <w:szCs w:val="28"/>
        </w:rPr>
        <w:t xml:space="preserve"> </w:t>
      </w:r>
      <w:r w:rsidR="00D04F83" w:rsidRPr="004C026D">
        <w:rPr>
          <w:rFonts w:ascii="Times New Roman" w:hAnsi="Times New Roman" w:cs="Times New Roman"/>
          <w:sz w:val="28"/>
          <w:szCs w:val="28"/>
        </w:rPr>
        <w:t>Леснополянского сельсовета</w:t>
      </w:r>
      <w:r w:rsidR="00D04F83">
        <w:rPr>
          <w:rFonts w:ascii="Times New Roman" w:hAnsi="Times New Roman" w:cs="Times New Roman"/>
          <w:sz w:val="28"/>
          <w:szCs w:val="28"/>
        </w:rPr>
        <w:t xml:space="preserve"> </w:t>
      </w:r>
      <w:r w:rsidR="00D04F83" w:rsidRPr="004C026D">
        <w:rPr>
          <w:rFonts w:ascii="Times New Roman" w:hAnsi="Times New Roman" w:cs="Times New Roman"/>
          <w:sz w:val="28"/>
          <w:szCs w:val="28"/>
        </w:rPr>
        <w:t>Коченевского района</w:t>
      </w:r>
      <w:r w:rsidR="00D04F83">
        <w:rPr>
          <w:rFonts w:ascii="Times New Roman" w:hAnsi="Times New Roman" w:cs="Times New Roman"/>
          <w:sz w:val="28"/>
          <w:szCs w:val="28"/>
        </w:rPr>
        <w:t xml:space="preserve"> </w:t>
      </w:r>
      <w:r w:rsidR="00D04F83" w:rsidRPr="004C026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4F83">
        <w:rPr>
          <w:rFonts w:ascii="Times New Roman" w:hAnsi="Times New Roman" w:cs="Times New Roman"/>
          <w:sz w:val="28"/>
          <w:szCs w:val="28"/>
        </w:rPr>
        <w:t xml:space="preserve"> за 2016</w:t>
      </w:r>
      <w:r w:rsidR="00D04F83" w:rsidRPr="004C02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64B9">
        <w:rPr>
          <w:rFonts w:ascii="Times New Roman" w:hAnsi="Times New Roman" w:cs="Times New Roman"/>
          <w:sz w:val="28"/>
          <w:szCs w:val="28"/>
        </w:rPr>
        <w:t>», опубликовано в периодическом печатном издании  «Л</w:t>
      </w:r>
      <w:r>
        <w:rPr>
          <w:rFonts w:ascii="Times New Roman" w:hAnsi="Times New Roman" w:cs="Times New Roman"/>
          <w:sz w:val="28"/>
          <w:szCs w:val="28"/>
        </w:rPr>
        <w:t xml:space="preserve">еснополянский </w:t>
      </w:r>
      <w:r w:rsidR="00D04F83">
        <w:rPr>
          <w:rFonts w:ascii="Times New Roman" w:hAnsi="Times New Roman" w:cs="Times New Roman"/>
          <w:sz w:val="28"/>
          <w:szCs w:val="28"/>
        </w:rPr>
        <w:t>вестник» 27 марта  2017</w:t>
      </w:r>
      <w:r>
        <w:rPr>
          <w:rFonts w:ascii="Times New Roman" w:hAnsi="Times New Roman" w:cs="Times New Roman"/>
          <w:sz w:val="28"/>
          <w:szCs w:val="28"/>
        </w:rPr>
        <w:t xml:space="preserve"> года № 6</w:t>
      </w:r>
      <w:r w:rsidRPr="00D064B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04F83" w:rsidRDefault="00D04F83" w:rsidP="00D04F83">
      <w:pPr>
        <w:pStyle w:val="a3"/>
        <w:shd w:val="clear" w:color="auto" w:fill="FFFFFF"/>
        <w:rPr>
          <w:sz w:val="28"/>
          <w:szCs w:val="28"/>
        </w:rPr>
      </w:pPr>
      <w:r w:rsidRPr="00B57257">
        <w:rPr>
          <w:rStyle w:val="a4"/>
          <w:b w:val="0"/>
          <w:sz w:val="28"/>
          <w:szCs w:val="28"/>
        </w:rPr>
        <w:t>СЛУШАЛИ</w:t>
      </w:r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04F83" w:rsidRDefault="00D04F83" w:rsidP="00D04F8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В.А. Черепанова - Главу Леснополянского сельсовета  Коченевского района Новосибирской области «О принятии проекта отчета бюджета Леснополянского сельсовета Коченевского района Новосибирской области за 2016 год.</w:t>
      </w:r>
    </w:p>
    <w:p w:rsidR="00D04F83" w:rsidRDefault="00D04F83" w:rsidP="00D04F83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</w:p>
    <w:p w:rsidR="00D04F83" w:rsidRPr="00B57257" w:rsidRDefault="00D064B9" w:rsidP="00D04F83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03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D04F83" w:rsidTr="008E7B86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4F83" w:rsidTr="008E7B86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D04F83" w:rsidTr="008E7B86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D04F83" w:rsidTr="008E7B86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января 2017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07/02/17</w:t>
            </w:r>
          </w:p>
        </w:tc>
      </w:tr>
      <w:tr w:rsidR="00D04F83" w:rsidTr="008E7B86"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Леснополянского сельсовета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04199932</w:t>
            </w:r>
          </w:p>
        </w:tc>
      </w:tr>
      <w:tr w:rsidR="00D04F83" w:rsidTr="008E7B86"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</w:tr>
      <w:tr w:rsidR="00D04F83" w:rsidTr="008E7B86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50623413</w:t>
            </w:r>
          </w:p>
        </w:tc>
      </w:tr>
      <w:tr w:rsidR="00D04F83" w:rsidTr="008E7B86">
        <w:trPr>
          <w:trHeight w:val="230"/>
        </w:trPr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4F83" w:rsidTr="008E7B86">
        <w:trPr>
          <w:trHeight w:val="242"/>
        </w:trPr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D04F83" w:rsidTr="008E7B86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4F83" w:rsidTr="008E7B86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4F83" w:rsidTr="008E7B86"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4F83" w:rsidTr="008E7B86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4F83" w:rsidTr="008E7B86"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7 260 852,00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7 261 748,48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-896,48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272 675,00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272 674,53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0,47</w:t>
            </w:r>
          </w:p>
        </w:tc>
      </w:tr>
      <w:tr w:rsidR="00D04F83" w:rsidTr="008E7B86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8 195,00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272 928,00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273 112,17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-184,17</w:t>
            </w:r>
          </w:p>
        </w:tc>
      </w:tr>
      <w:tr w:rsidR="00D04F83" w:rsidTr="008E7B86"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4 167,00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4 168,91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-1,91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562 073,00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562 073,25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-0,25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-40 451,00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-40 451,59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0,59</w:t>
            </w:r>
          </w:p>
        </w:tc>
      </w:tr>
      <w:tr w:rsidR="00D04F83" w:rsidTr="008E7B86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10 743,00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10 743,48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-0,48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259 685,00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259 684,90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256 385,00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257 096,67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-711,67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000 1 11 05025 10 0000 120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000 1 13 01995 10 0000 130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5 537 452,00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5 537 452,00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5 537 452,00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5 537 452,00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4 850 330,00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435 422,00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435 422,00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703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000 2 02 04012 00 0000 151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703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000 2 02 04012 10 0000 151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703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000 2 02 04014 10 0000 151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000 2 02 04999 00 0000 151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389 422,00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389 422,00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389 422,00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389 422,00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54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000 2 19 05000 10 0000 151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-0,84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04F83" w:rsidRDefault="00D04F83" w:rsidP="00D04F83">
      <w:pPr>
        <w:pStyle w:val="aa"/>
        <w:rPr>
          <w:szCs w:val="28"/>
        </w:rPr>
      </w:pPr>
    </w:p>
    <w:p w:rsidR="00D04F83" w:rsidRDefault="00D04F83" w:rsidP="00D04F83">
      <w:pPr>
        <w:pStyle w:val="aa"/>
        <w:rPr>
          <w:szCs w:val="28"/>
        </w:rPr>
      </w:pPr>
    </w:p>
    <w:tbl>
      <w:tblPr>
        <w:tblW w:w="10881" w:type="dxa"/>
        <w:tblInd w:w="93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D04F83" w:rsidRPr="00C82B1B" w:rsidTr="008E7B86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</w:rPr>
            </w:pPr>
            <w:r w:rsidRPr="00C82B1B">
              <w:rPr>
                <w:rFonts w:ascii="Arial CYR" w:eastAsia="Times New Roman" w:hAnsi="Arial CYR" w:cs="Times New Roman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04F83" w:rsidRPr="00C82B1B" w:rsidTr="008E7B86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D04F83" w:rsidRPr="00C82B1B" w:rsidTr="008E7B86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</w:tr>
      <w:tr w:rsidR="00D04F83" w:rsidRPr="00C82B1B" w:rsidTr="008E7B86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bookmarkStart w:id="0" w:name="RANGE!A13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7 370 554,01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7 081 068,61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Глава администрации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000 0102 8800002030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000 0102 8800002030 100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000 0102 8800002030 120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444 777,45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000 0102 8800002030 121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337 677,45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337 677,45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000 0102 8800002030 129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2 199 894,31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2 199 894,31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2 199 894,31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2 199 894,31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1 292 317,19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1 292 317,19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1 292 317,19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1 292 317,19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1 008 882,19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1 008 882,19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281 935,00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281 935,00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806 531,03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806 531,03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806 531,03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806 531,03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215 161,80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215 161,80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591 369,23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591 369,23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101 046,09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101 046,09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000 0104 8800002040 830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156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98 046,09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98 046,09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13 780,04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13 780,04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000 0104 8800002040 853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81 135,05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81 135,05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000 0106 8800004010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000 0106 8800004010 500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000 0106 8800004010 540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Осуществление первичного воинского учета на </w:t>
            </w:r>
            <w:proofErr w:type="spellStart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территориях</w:t>
            </w:r>
            <w:proofErr w:type="gramStart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,г</w:t>
            </w:r>
            <w:proofErr w:type="gramEnd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де</w:t>
            </w:r>
            <w:proofErr w:type="spellEnd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62 058,00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62 058,00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18 742,00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18 742,00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000 0309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000 0309 8800005000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000 0309 8800005000 200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000 0309 8800005000 240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000 0309 8800005000 244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000 0409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1 635 249,07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1 345 763,67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содержание и ремонт автомобильных дорог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000 0409 8800003150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1 635 249,07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1 345 763,67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000 0409 8800003150 200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1 635 249,07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1 345 763,67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000 0409 8800003150 240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1 635 249,07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1 345 763,67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000 0409 8800003150 244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1 635 249,07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1 345 763,67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289 485,40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128 028,00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128 028,00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000 0412 8800003380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000 0412 8800003380 200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000 0412 8800003380 240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000 0412 8800003380 244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127 028,00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по осуществлению муниципального земельного контроля в границах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000 0412 8800004470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000 0412 8800004470 200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000 0412 8800004470 240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000 0412 8800004470 244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609 718,00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609 718,00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000 0502 0910070810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000 0502 0910070810 800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000 0502 0910070810 810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52 640,00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000 0502 8800003510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000 0502 8800003510 800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000 0502 8800003510 810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486 534,00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проведения мероприятий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000 0502 8800004450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000 0502 8800004450 200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000 0502 8800004450 240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000 0502 8800004450 244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000 0502 8800005000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000 0502 8800005000 200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000 0502 8800005000 240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000 0502 8800005000 244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486 785,08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486 785,08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2014-2019гг."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000 0503 0300070510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000 0503 0300070510 200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000 0503 0300070510 240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000 0503 0300070510 244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благоустройство (уличное освещение)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69 646,62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организация и содержания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357 138,46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357 138,46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346 195,46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000 0503 8800060050 852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10 943,00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1 544 907,85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1 544 907,85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2014-2019гг."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000 0801 0300070510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000 0801 0300070510 100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000 0801 0300070510 110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000 0801 0300070510 111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обеспечение деятельности подведомственных учреждений (дом </w:t>
            </w:r>
            <w:proofErr w:type="spellStart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кулльтуры</w:t>
            </w:r>
            <w:proofErr w:type="spellEnd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1 444 907,85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1 444 907,85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1 084 189,80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1 084 189,80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1 084 189,80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1 084 189,80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000 0801 8800004400 113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274 489,80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274 489,80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360 551,35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166,70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166,70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166,70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166,70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000 0801 8800004400 852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153,96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000 1001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доплата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000 1001 8800004910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000 1001 8800004910 300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000 1001 8800004910 310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000 1001 8800004910 312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204 494,25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  <w:tr w:rsidR="00D04F83" w:rsidRPr="00C82B1B" w:rsidTr="008E7B86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профицит</w:t>
            </w:r>
            <w:proofErr w:type="spellEnd"/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rPr>
                <w:rFonts w:ascii="Arial CYR" w:eastAsia="Times New Roman" w:hAnsi="Arial CYR" w:cs="Times New Roman"/>
                <w:sz w:val="14"/>
                <w:szCs w:val="14"/>
              </w:rPr>
            </w:pPr>
            <w:r w:rsidRPr="00C82B1B">
              <w:rPr>
                <w:rFonts w:ascii="Arial CYR" w:eastAsia="Times New Roman" w:hAnsi="Arial CYR" w:cs="Times New Roman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-109 702,01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180 679,87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F83" w:rsidRPr="00C82B1B" w:rsidRDefault="00D04F83" w:rsidP="008E7B8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C82B1B">
              <w:rPr>
                <w:rFonts w:ascii="Arial CYR" w:eastAsia="Times New Roman" w:hAnsi="Arial CYR" w:cs="Times New Roman"/>
                <w:sz w:val="16"/>
                <w:szCs w:val="16"/>
              </w:rPr>
              <w:t>-</w:t>
            </w:r>
          </w:p>
        </w:tc>
      </w:tr>
    </w:tbl>
    <w:p w:rsidR="00D04F83" w:rsidRDefault="00D04F83" w:rsidP="00D04F83">
      <w:pPr>
        <w:pStyle w:val="aa"/>
        <w:rPr>
          <w:szCs w:val="28"/>
        </w:rPr>
      </w:pPr>
    </w:p>
    <w:tbl>
      <w:tblPr>
        <w:tblW w:w="104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514"/>
        <w:gridCol w:w="1925"/>
        <w:gridCol w:w="1454"/>
        <w:gridCol w:w="1455"/>
        <w:gridCol w:w="1454"/>
      </w:tblGrid>
      <w:tr w:rsidR="00D04F83" w:rsidTr="008E7B86">
        <w:trPr>
          <w:trHeight w:val="278"/>
        </w:trPr>
        <w:tc>
          <w:tcPr>
            <w:tcW w:w="6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04F83" w:rsidTr="008E7B86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4F83" w:rsidTr="008E7B86"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D04F83" w:rsidTr="008E7B86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109 702,01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-180 679,87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290 381,88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109 702,01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-180 679,87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-7 260 852,00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-7 261 748,48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-7 260 852,00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-7 261 748,48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000 01 05 00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7 370 554,01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7 081 068,61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04F83" w:rsidTr="008E7B86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7 370 554,01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7 081 068,61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F83" w:rsidRDefault="00D04F83" w:rsidP="008E7B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D04F83" w:rsidRDefault="00D04F83" w:rsidP="00D04F83">
      <w:pPr>
        <w:pStyle w:val="aa"/>
        <w:rPr>
          <w:szCs w:val="28"/>
        </w:rPr>
      </w:pPr>
    </w:p>
    <w:p w:rsidR="00B57257" w:rsidRPr="00B57257" w:rsidRDefault="00B57257" w:rsidP="00D04F83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</w:p>
    <w:p w:rsidR="00D04F83" w:rsidRDefault="00D064B9" w:rsidP="00D04F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57257">
        <w:rPr>
          <w:sz w:val="28"/>
          <w:szCs w:val="28"/>
        </w:rPr>
        <w:t>Ондышева</w:t>
      </w:r>
      <w:proofErr w:type="spellEnd"/>
      <w:r w:rsidRPr="00B57257">
        <w:rPr>
          <w:sz w:val="28"/>
          <w:szCs w:val="28"/>
        </w:rPr>
        <w:t xml:space="preserve"> А.Н. – депутат Совета депутатов Леснополянского сельсовета Коченевского района Новосибирской области, директор МКУК Лес</w:t>
      </w:r>
      <w:r w:rsidR="00D04F83">
        <w:rPr>
          <w:sz w:val="28"/>
          <w:szCs w:val="28"/>
        </w:rPr>
        <w:t xml:space="preserve">нополянский СДК </w:t>
      </w:r>
      <w:r w:rsidRPr="00B57257">
        <w:rPr>
          <w:sz w:val="28"/>
          <w:szCs w:val="28"/>
        </w:rPr>
        <w:t xml:space="preserve"> </w:t>
      </w:r>
      <w:r w:rsidR="00D04F83">
        <w:rPr>
          <w:sz w:val="28"/>
          <w:szCs w:val="28"/>
        </w:rPr>
        <w:t>с предложением принять проект отчета об исполнении бюджета Леснополянского сельсовета</w:t>
      </w:r>
      <w:r w:rsidR="00D04F83" w:rsidRPr="00961154">
        <w:rPr>
          <w:sz w:val="28"/>
          <w:szCs w:val="28"/>
        </w:rPr>
        <w:t xml:space="preserve"> </w:t>
      </w:r>
      <w:r w:rsidR="00D04F83">
        <w:rPr>
          <w:sz w:val="28"/>
          <w:szCs w:val="28"/>
        </w:rPr>
        <w:t>Коченевского района Новосибирской области  за 2016 год.</w:t>
      </w:r>
    </w:p>
    <w:p w:rsidR="00D04F83" w:rsidRDefault="00D04F83" w:rsidP="00D04F83">
      <w:pPr>
        <w:pStyle w:val="a3"/>
        <w:shd w:val="clear" w:color="auto" w:fill="FFFFFF"/>
        <w:rPr>
          <w:sz w:val="28"/>
          <w:szCs w:val="28"/>
        </w:rPr>
      </w:pPr>
      <w:r w:rsidRPr="00961154">
        <w:rPr>
          <w:rStyle w:val="a4"/>
          <w:b w:val="0"/>
          <w:sz w:val="28"/>
          <w:szCs w:val="28"/>
        </w:rPr>
        <w:t>РЕШИЛИ:</w:t>
      </w:r>
      <w:r w:rsidRPr="009611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проект отчета об исполнении бюджета Леснополянского сельсовета</w:t>
      </w:r>
      <w:r w:rsidRPr="00961154">
        <w:rPr>
          <w:sz w:val="28"/>
          <w:szCs w:val="28"/>
        </w:rPr>
        <w:t xml:space="preserve"> </w:t>
      </w:r>
      <w:r>
        <w:rPr>
          <w:sz w:val="28"/>
          <w:szCs w:val="28"/>
        </w:rPr>
        <w:t>Коченевского района Новосибирской области  за 2016 год.</w:t>
      </w:r>
    </w:p>
    <w:p w:rsidR="00D04F83" w:rsidRDefault="007A609D" w:rsidP="00D04F83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-23</w:t>
      </w:r>
      <w:r w:rsidR="00D04F83" w:rsidRPr="00B57257">
        <w:rPr>
          <w:rFonts w:ascii="Times New Roman" w:hAnsi="Times New Roman" w:cs="Times New Roman"/>
          <w:sz w:val="28"/>
          <w:szCs w:val="28"/>
        </w:rPr>
        <w:t>, против - нет, воздержались – нет.</w:t>
      </w:r>
    </w:p>
    <w:p w:rsidR="00D04F83" w:rsidRDefault="00D04F83" w:rsidP="00D04F83">
      <w:pPr>
        <w:pStyle w:val="a3"/>
        <w:shd w:val="clear" w:color="auto" w:fill="FFFFFF"/>
        <w:rPr>
          <w:sz w:val="28"/>
          <w:szCs w:val="28"/>
        </w:rPr>
      </w:pPr>
    </w:p>
    <w:p w:rsidR="00D04F83" w:rsidRDefault="00D04F83" w:rsidP="00D04F83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4F83" w:rsidRPr="00D3620E" w:rsidRDefault="00D04F83" w:rsidP="00D04F83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4F83" w:rsidRPr="00961154" w:rsidRDefault="00D04F83" w:rsidP="00D04F83">
      <w:pPr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b/>
          <w:sz w:val="28"/>
          <w:szCs w:val="28"/>
        </w:rPr>
        <w:t xml:space="preserve">     </w:t>
      </w:r>
      <w:r w:rsidRPr="00961154">
        <w:rPr>
          <w:rFonts w:ascii="Times New Roman" w:hAnsi="Times New Roman" w:cs="Times New Roman"/>
          <w:sz w:val="28"/>
          <w:szCs w:val="28"/>
        </w:rPr>
        <w:t xml:space="preserve">Председатель собрания: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D04F83" w:rsidRPr="00961154" w:rsidRDefault="00D04F83" w:rsidP="00D04F83">
      <w:pPr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        Секретарь собрания:                              Кириллова Т.Н.</w:t>
      </w:r>
    </w:p>
    <w:p w:rsidR="00D04F83" w:rsidRPr="00961154" w:rsidRDefault="00D04F83" w:rsidP="00D04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F83" w:rsidRDefault="00D04F83" w:rsidP="00D04F83"/>
    <w:p w:rsidR="00D04F83" w:rsidRDefault="00D04F83" w:rsidP="00D04F83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4F83" w:rsidRDefault="00D04F83" w:rsidP="00D04F83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/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sectPr w:rsidR="009D36BF" w:rsidSect="009C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4DB85616"/>
    <w:multiLevelType w:val="hybridMultilevel"/>
    <w:tmpl w:val="809A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2030D"/>
    <w:multiLevelType w:val="hybridMultilevel"/>
    <w:tmpl w:val="D5C6C998"/>
    <w:lvl w:ilvl="0" w:tplc="B7DABA4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66907D4A"/>
    <w:multiLevelType w:val="hybridMultilevel"/>
    <w:tmpl w:val="8ECC8B6C"/>
    <w:lvl w:ilvl="0" w:tplc="3D7AE8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91D4B69"/>
    <w:multiLevelType w:val="multilevel"/>
    <w:tmpl w:val="33A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64B9"/>
    <w:rsid w:val="00045099"/>
    <w:rsid w:val="005431FC"/>
    <w:rsid w:val="00640832"/>
    <w:rsid w:val="007A609D"/>
    <w:rsid w:val="00961154"/>
    <w:rsid w:val="009C4C66"/>
    <w:rsid w:val="009D36BF"/>
    <w:rsid w:val="009D45DB"/>
    <w:rsid w:val="00B57257"/>
    <w:rsid w:val="00C4593F"/>
    <w:rsid w:val="00D04F83"/>
    <w:rsid w:val="00D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D0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25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5725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72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64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D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064B9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064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7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72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B57257"/>
    <w:rPr>
      <w:color w:val="0000FF"/>
      <w:u w:val="single"/>
    </w:rPr>
  </w:style>
  <w:style w:type="paragraph" w:styleId="a7">
    <w:name w:val="Title"/>
    <w:basedOn w:val="a"/>
    <w:link w:val="a8"/>
    <w:qFormat/>
    <w:rsid w:val="00B57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5725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qFormat/>
    <w:rsid w:val="00B57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aliases w:val="Знак,Знак1 Знак,bt"/>
    <w:basedOn w:val="a"/>
    <w:link w:val="ab"/>
    <w:rsid w:val="00B57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bt Знак"/>
    <w:basedOn w:val="a0"/>
    <w:link w:val="aa"/>
    <w:rsid w:val="00B5725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5725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B5725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B57257"/>
    <w:pPr>
      <w:pageBreakBefore/>
      <w:spacing w:after="160" w:line="240" w:lineRule="exact"/>
      <w:jc w:val="center"/>
    </w:pPr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customStyle="1" w:styleId="ConsPlusCell">
    <w:name w:val="ConsPlusCell"/>
    <w:uiPriority w:val="99"/>
    <w:rsid w:val="00B57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5725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572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B5725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B5725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7257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ae">
    <w:name w:val="Основной текст_"/>
    <w:basedOn w:val="a0"/>
    <w:link w:val="21"/>
    <w:rsid w:val="00B5725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B57257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Полужирный;Интервал 0 pt"/>
    <w:basedOn w:val="ae"/>
    <w:rsid w:val="00B57257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e"/>
    <w:rsid w:val="00B5725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western">
    <w:name w:val="western"/>
    <w:basedOn w:val="a"/>
    <w:rsid w:val="00B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B572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B57257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B5725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B5725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572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Intense Emphasis"/>
    <w:basedOn w:val="a0"/>
    <w:uiPriority w:val="21"/>
    <w:qFormat/>
    <w:rsid w:val="00B57257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B572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B5725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af4">
    <w:name w:val="Intense Reference"/>
    <w:basedOn w:val="a0"/>
    <w:uiPriority w:val="32"/>
    <w:qFormat/>
    <w:rsid w:val="00B5725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57257"/>
    <w:rPr>
      <w:b/>
      <w:bCs/>
      <w:smallCaps/>
      <w:spacing w:val="5"/>
    </w:rPr>
  </w:style>
  <w:style w:type="character" w:styleId="af6">
    <w:name w:val="Subtle Reference"/>
    <w:basedOn w:val="a0"/>
    <w:uiPriority w:val="31"/>
    <w:qFormat/>
    <w:rsid w:val="00B57257"/>
    <w:rPr>
      <w:smallCaps/>
      <w:color w:val="C0504D" w:themeColor="accent2"/>
      <w:u w:val="single"/>
    </w:rPr>
  </w:style>
  <w:style w:type="paragraph" w:styleId="af7">
    <w:name w:val="Intense Quote"/>
    <w:basedOn w:val="a"/>
    <w:next w:val="a"/>
    <w:link w:val="af8"/>
    <w:uiPriority w:val="30"/>
    <w:qFormat/>
    <w:rsid w:val="00B5725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B5725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f9">
    <w:name w:val="Subtle Emphasis"/>
    <w:basedOn w:val="a0"/>
    <w:uiPriority w:val="19"/>
    <w:qFormat/>
    <w:rsid w:val="00B57257"/>
    <w:rPr>
      <w:i/>
      <w:iCs/>
      <w:color w:val="808080" w:themeColor="text1" w:themeTint="7F"/>
    </w:rPr>
  </w:style>
  <w:style w:type="character" w:styleId="afa">
    <w:name w:val="Emphasis"/>
    <w:basedOn w:val="a0"/>
    <w:qFormat/>
    <w:rsid w:val="00B57257"/>
    <w:rPr>
      <w:i/>
      <w:iCs/>
    </w:rPr>
  </w:style>
  <w:style w:type="character" w:customStyle="1" w:styleId="afb">
    <w:name w:val="Верхний колонтитул Знак"/>
    <w:basedOn w:val="a0"/>
    <w:link w:val="afc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b"/>
    <w:semiHidden/>
    <w:unhideWhenUsed/>
    <w:rsid w:val="00B57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fc"/>
    <w:uiPriority w:val="99"/>
    <w:semiHidden/>
    <w:rsid w:val="00B57257"/>
  </w:style>
  <w:style w:type="character" w:customStyle="1" w:styleId="afd">
    <w:name w:val="Нижний колонтитул Знак"/>
    <w:basedOn w:val="a0"/>
    <w:link w:val="afe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er"/>
    <w:basedOn w:val="a"/>
    <w:link w:val="afd"/>
    <w:semiHidden/>
    <w:unhideWhenUsed/>
    <w:rsid w:val="00B57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fe"/>
    <w:uiPriority w:val="99"/>
    <w:semiHidden/>
    <w:rsid w:val="00B57257"/>
  </w:style>
  <w:style w:type="paragraph" w:customStyle="1" w:styleId="ConsPlusTitle">
    <w:name w:val="ConsPlusTitle"/>
    <w:rsid w:val="00B5725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5">
    <w:name w:val="Стиль1 Знак"/>
    <w:basedOn w:val="ConsPlusNormal0"/>
    <w:next w:val="33"/>
    <w:rsid w:val="00B57257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rsid w:val="00B5725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B57257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34">
    <w:name w:val="Body Text Indent 3"/>
    <w:basedOn w:val="a"/>
    <w:link w:val="35"/>
    <w:rsid w:val="00B572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57257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Обычный1"/>
    <w:rsid w:val="00B57257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210">
    <w:name w:val="Основной текст 21"/>
    <w:basedOn w:val="a"/>
    <w:rsid w:val="00B57257"/>
    <w:pPr>
      <w:tabs>
        <w:tab w:val="left" w:pos="969"/>
        <w:tab w:val="left" w:pos="6465"/>
      </w:tabs>
      <w:suppressAutoHyphens/>
      <w:autoSpaceDE w:val="0"/>
      <w:spacing w:before="158" w:after="0" w:line="240" w:lineRule="auto"/>
    </w:pPr>
    <w:rPr>
      <w:rFonts w:ascii="Times New Roman" w:eastAsia="Times New Roman" w:hAnsi="Times New Roman" w:cs="Times New Roman"/>
      <w:b/>
      <w:bCs/>
      <w:sz w:val="52"/>
      <w:szCs w:val="30"/>
      <w:lang w:eastAsia="ar-SA"/>
    </w:rPr>
  </w:style>
  <w:style w:type="character" w:customStyle="1" w:styleId="36">
    <w:name w:val="Основной текст 3 Знак"/>
    <w:basedOn w:val="a0"/>
    <w:link w:val="37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"/>
    <w:link w:val="36"/>
    <w:semiHidden/>
    <w:unhideWhenUsed/>
    <w:rsid w:val="00B5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7"/>
    <w:uiPriority w:val="99"/>
    <w:semiHidden/>
    <w:rsid w:val="00B57257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B572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B5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3674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Lesnopoljskij selsovet</Company>
  <LinksUpToDate>false</LinksUpToDate>
  <CharactersWithSpaces>24567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2017-04-03T07:08:00Z</cp:lastPrinted>
  <dcterms:created xsi:type="dcterms:W3CDTF">2016-05-18T09:37:00Z</dcterms:created>
  <dcterms:modified xsi:type="dcterms:W3CDTF">2017-04-03T07:27:00Z</dcterms:modified>
</cp:coreProperties>
</file>